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42" w:rsidRPr="00E544B8" w:rsidRDefault="00E544B8" w:rsidP="00E544B8">
      <w:pPr>
        <w:jc w:val="center"/>
        <w:rPr>
          <w:b/>
          <w:sz w:val="28"/>
          <w:szCs w:val="28"/>
        </w:rPr>
      </w:pPr>
      <w:bookmarkStart w:id="0" w:name="_GoBack"/>
      <w:bookmarkEnd w:id="0"/>
      <w:r w:rsidRPr="00E544B8">
        <w:rPr>
          <w:b/>
          <w:sz w:val="28"/>
          <w:szCs w:val="28"/>
        </w:rPr>
        <w:t>BAŞARIYI İZLEME VE GELİŞTİRME PROJESİ(BİGEP) DENEME ANALİZİ</w:t>
      </w:r>
    </w:p>
    <w:tbl>
      <w:tblPr>
        <w:tblpPr w:leftFromText="141" w:rightFromText="141" w:vertAnchor="text" w:horzAnchor="margin" w:tblpY="89"/>
        <w:tblW w:w="15860" w:type="dxa"/>
        <w:tblCellMar>
          <w:left w:w="70" w:type="dxa"/>
          <w:right w:w="70" w:type="dxa"/>
        </w:tblCellMar>
        <w:tblLook w:val="04A0" w:firstRow="1" w:lastRow="0" w:firstColumn="1" w:lastColumn="0" w:noHBand="0" w:noVBand="1"/>
      </w:tblPr>
      <w:tblGrid>
        <w:gridCol w:w="1378"/>
        <w:gridCol w:w="1251"/>
        <w:gridCol w:w="1103"/>
        <w:gridCol w:w="1633"/>
        <w:gridCol w:w="1378"/>
        <w:gridCol w:w="1018"/>
        <w:gridCol w:w="1717"/>
        <w:gridCol w:w="1018"/>
        <w:gridCol w:w="1145"/>
        <w:gridCol w:w="1527"/>
        <w:gridCol w:w="1169"/>
        <w:gridCol w:w="1523"/>
      </w:tblGrid>
      <w:tr w:rsidR="00E544B8" w:rsidRPr="00674FF4" w:rsidTr="00E544B8">
        <w:trPr>
          <w:trHeight w:val="611"/>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SINIF</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TÜRKÇE</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TARİH-1</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COĞRAFYA-1</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FELSEFE-1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DİN-1</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MATEMATİK</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FİZİK-1</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KİMYA-1</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BİYOLOJİ-1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TOPLAM</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674FF4" w:rsidRPr="00674FF4" w:rsidRDefault="00674FF4" w:rsidP="00674FF4">
            <w:pPr>
              <w:spacing w:before="0" w:after="0"/>
              <w:ind w:left="0" w:right="0"/>
              <w:jc w:val="center"/>
              <w:rPr>
                <w:rFonts w:eastAsia="Times New Roman" w:cs="Times New Roman"/>
                <w:b/>
                <w:bCs/>
                <w:color w:val="000000"/>
                <w:sz w:val="22"/>
                <w:u w:val="single"/>
                <w:lang w:eastAsia="tr-TR"/>
              </w:rPr>
            </w:pPr>
            <w:r w:rsidRPr="00674FF4">
              <w:rPr>
                <w:rFonts w:eastAsia="Times New Roman" w:cs="Times New Roman"/>
                <w:b/>
                <w:bCs/>
                <w:color w:val="000000"/>
                <w:sz w:val="22"/>
                <w:u w:val="single"/>
                <w:lang w:eastAsia="tr-TR"/>
              </w:rPr>
              <w:t>TYT PUANI</w:t>
            </w:r>
          </w:p>
        </w:tc>
      </w:tr>
      <w:tr w:rsidR="00371DBE" w:rsidRPr="00674FF4" w:rsidTr="00E544B8">
        <w:trPr>
          <w:trHeight w:val="611"/>
        </w:trPr>
        <w:tc>
          <w:tcPr>
            <w:tcW w:w="137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bCs/>
                <w:sz w:val="22"/>
                <w:lang w:eastAsia="tr-TR"/>
              </w:rPr>
            </w:pPr>
            <w:r w:rsidRPr="00674FF4">
              <w:rPr>
                <w:rFonts w:eastAsia="Times New Roman" w:cs="Times New Roman"/>
                <w:b/>
                <w:bCs/>
                <w:sz w:val="22"/>
                <w:lang w:eastAsia="tr-TR"/>
              </w:rPr>
              <w:t>11.SINIF</w:t>
            </w:r>
          </w:p>
        </w:tc>
        <w:tc>
          <w:tcPr>
            <w:tcW w:w="1251"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17,42</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0,81</w:t>
            </w:r>
          </w:p>
        </w:tc>
        <w:tc>
          <w:tcPr>
            <w:tcW w:w="163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0,33</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1,12</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2,8</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3,64</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0,32</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0,5</w:t>
            </w:r>
          </w:p>
        </w:tc>
        <w:tc>
          <w:tcPr>
            <w:tcW w:w="152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0,81</w:t>
            </w:r>
          </w:p>
        </w:tc>
        <w:tc>
          <w:tcPr>
            <w:tcW w:w="1169"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27,76</w:t>
            </w:r>
          </w:p>
        </w:tc>
        <w:tc>
          <w:tcPr>
            <w:tcW w:w="152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sz w:val="22"/>
                <w:lang w:eastAsia="tr-TR"/>
              </w:rPr>
            </w:pPr>
            <w:r w:rsidRPr="00674FF4">
              <w:rPr>
                <w:rFonts w:eastAsia="Times New Roman" w:cs="Times New Roman"/>
                <w:b/>
                <w:sz w:val="22"/>
                <w:lang w:eastAsia="tr-TR"/>
              </w:rPr>
              <w:t>184,766</w:t>
            </w:r>
          </w:p>
        </w:tc>
      </w:tr>
      <w:tr w:rsidR="00371DBE" w:rsidRPr="00674FF4" w:rsidTr="00E544B8">
        <w:trPr>
          <w:trHeight w:val="611"/>
        </w:trPr>
        <w:tc>
          <w:tcPr>
            <w:tcW w:w="137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bCs/>
                <w:color w:val="000000"/>
                <w:sz w:val="22"/>
                <w:lang w:eastAsia="tr-TR"/>
              </w:rPr>
            </w:pPr>
            <w:r w:rsidRPr="00674FF4">
              <w:rPr>
                <w:rFonts w:eastAsia="Times New Roman" w:cs="Times New Roman"/>
                <w:b/>
                <w:bCs/>
                <w:color w:val="000000"/>
                <w:sz w:val="22"/>
                <w:lang w:eastAsia="tr-TR"/>
              </w:rPr>
              <w:t>12.SINIF</w:t>
            </w:r>
          </w:p>
        </w:tc>
        <w:tc>
          <w:tcPr>
            <w:tcW w:w="1251"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21,65</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1,01</w:t>
            </w:r>
          </w:p>
        </w:tc>
        <w:tc>
          <w:tcPr>
            <w:tcW w:w="163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0,67</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1,87</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2,84</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4,48</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0,34</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0,63</w:t>
            </w:r>
          </w:p>
        </w:tc>
        <w:tc>
          <w:tcPr>
            <w:tcW w:w="152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1,04</w:t>
            </w:r>
          </w:p>
        </w:tc>
        <w:tc>
          <w:tcPr>
            <w:tcW w:w="1169"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34,53</w:t>
            </w:r>
          </w:p>
        </w:tc>
        <w:tc>
          <w:tcPr>
            <w:tcW w:w="152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206,201</w:t>
            </w:r>
          </w:p>
        </w:tc>
      </w:tr>
      <w:tr w:rsidR="00E544B8" w:rsidRPr="00674FF4" w:rsidTr="00E544B8">
        <w:trPr>
          <w:trHeight w:val="611"/>
        </w:trPr>
        <w:tc>
          <w:tcPr>
            <w:tcW w:w="137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bCs/>
                <w:color w:val="000000"/>
                <w:sz w:val="22"/>
                <w:lang w:eastAsia="tr-TR"/>
              </w:rPr>
            </w:pPr>
            <w:proofErr w:type="spellStart"/>
            <w:r w:rsidRPr="00674FF4">
              <w:rPr>
                <w:rFonts w:eastAsia="Times New Roman" w:cs="Times New Roman"/>
                <w:b/>
                <w:bCs/>
                <w:color w:val="000000"/>
                <w:sz w:val="22"/>
                <w:lang w:eastAsia="tr-TR"/>
              </w:rPr>
              <w:t>Haliliye</w:t>
            </w:r>
            <w:proofErr w:type="spellEnd"/>
          </w:p>
        </w:tc>
        <w:tc>
          <w:tcPr>
            <w:tcW w:w="1251"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17,04</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1,14</w:t>
            </w:r>
          </w:p>
        </w:tc>
        <w:tc>
          <w:tcPr>
            <w:tcW w:w="163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0,72</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1,91</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2,33</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7,01</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0,65</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0,97</w:t>
            </w:r>
          </w:p>
        </w:tc>
        <w:tc>
          <w:tcPr>
            <w:tcW w:w="152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1,21</w:t>
            </w:r>
          </w:p>
        </w:tc>
        <w:tc>
          <w:tcPr>
            <w:tcW w:w="1169"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32,98</w:t>
            </w:r>
          </w:p>
        </w:tc>
        <w:tc>
          <w:tcPr>
            <w:tcW w:w="152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203,857</w:t>
            </w:r>
          </w:p>
        </w:tc>
      </w:tr>
      <w:tr w:rsidR="009E166A" w:rsidRPr="00674FF4" w:rsidTr="00E544B8">
        <w:trPr>
          <w:trHeight w:val="611"/>
        </w:trPr>
        <w:tc>
          <w:tcPr>
            <w:tcW w:w="137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bCs/>
                <w:color w:val="000000"/>
                <w:sz w:val="22"/>
                <w:lang w:eastAsia="tr-TR"/>
              </w:rPr>
            </w:pPr>
            <w:r w:rsidRPr="00674FF4">
              <w:rPr>
                <w:rFonts w:eastAsia="Times New Roman" w:cs="Times New Roman"/>
                <w:b/>
                <w:bCs/>
                <w:color w:val="000000"/>
                <w:sz w:val="22"/>
                <w:lang w:eastAsia="tr-TR"/>
              </w:rPr>
              <w:t>Şanlıurfa</w:t>
            </w:r>
          </w:p>
        </w:tc>
        <w:tc>
          <w:tcPr>
            <w:tcW w:w="1251"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17,43</w:t>
            </w:r>
          </w:p>
        </w:tc>
        <w:tc>
          <w:tcPr>
            <w:tcW w:w="110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1,03</w:t>
            </w:r>
          </w:p>
        </w:tc>
        <w:tc>
          <w:tcPr>
            <w:tcW w:w="163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0,68</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1,97</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2,42</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5,51</w:t>
            </w:r>
          </w:p>
        </w:tc>
        <w:tc>
          <w:tcPr>
            <w:tcW w:w="1018"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0,48</w:t>
            </w:r>
          </w:p>
        </w:tc>
        <w:tc>
          <w:tcPr>
            <w:tcW w:w="1145"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0,75</w:t>
            </w:r>
          </w:p>
        </w:tc>
        <w:tc>
          <w:tcPr>
            <w:tcW w:w="1527"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1,09</w:t>
            </w:r>
          </w:p>
        </w:tc>
        <w:tc>
          <w:tcPr>
            <w:tcW w:w="1169"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31,37</w:t>
            </w:r>
          </w:p>
        </w:tc>
        <w:tc>
          <w:tcPr>
            <w:tcW w:w="1523" w:type="dxa"/>
            <w:tcBorders>
              <w:top w:val="nil"/>
              <w:left w:val="nil"/>
              <w:bottom w:val="single" w:sz="4" w:space="0" w:color="auto"/>
              <w:right w:val="single" w:sz="4" w:space="0" w:color="auto"/>
            </w:tcBorders>
            <w:shd w:val="clear" w:color="auto" w:fill="FFFFFF" w:themeFill="background1"/>
            <w:noWrap/>
            <w:vAlign w:val="center"/>
            <w:hideMark/>
          </w:tcPr>
          <w:p w:rsidR="00674FF4" w:rsidRPr="00674FF4" w:rsidRDefault="00674FF4" w:rsidP="00674FF4">
            <w:pPr>
              <w:spacing w:before="0" w:after="0"/>
              <w:ind w:left="0" w:right="0"/>
              <w:jc w:val="center"/>
              <w:rPr>
                <w:rFonts w:eastAsia="Times New Roman" w:cs="Times New Roman"/>
                <w:b/>
                <w:color w:val="000000"/>
                <w:sz w:val="22"/>
                <w:lang w:eastAsia="tr-TR"/>
              </w:rPr>
            </w:pPr>
            <w:r w:rsidRPr="00674FF4">
              <w:rPr>
                <w:rFonts w:eastAsia="Times New Roman" w:cs="Times New Roman"/>
                <w:b/>
                <w:color w:val="000000"/>
                <w:sz w:val="22"/>
                <w:lang w:eastAsia="tr-TR"/>
              </w:rPr>
              <w:t>197,453</w:t>
            </w:r>
          </w:p>
        </w:tc>
      </w:tr>
    </w:tbl>
    <w:p w:rsidR="00976F42" w:rsidRDefault="00976F42" w:rsidP="00E544B8">
      <w:pPr>
        <w:ind w:left="0"/>
        <w:rPr>
          <w:b/>
        </w:rPr>
      </w:pPr>
    </w:p>
    <w:p w:rsidR="00371DBE" w:rsidRPr="00E544B8" w:rsidRDefault="00674FF4" w:rsidP="00E544B8">
      <w:pPr>
        <w:spacing w:line="360" w:lineRule="auto"/>
        <w:ind w:firstLine="706"/>
        <w:jc w:val="both"/>
        <w:rPr>
          <w:szCs w:val="24"/>
        </w:rPr>
      </w:pPr>
      <w:r w:rsidRPr="00E544B8">
        <w:rPr>
          <w:szCs w:val="24"/>
        </w:rPr>
        <w:t>Şanlıurfa valiliği il milli eğitim müdürlüğü tarafından yap</w:t>
      </w:r>
      <w:r w:rsidR="0022064F" w:rsidRPr="00E544B8">
        <w:rPr>
          <w:szCs w:val="24"/>
        </w:rPr>
        <w:t>ılan Başarıyı izleme ve geliştirme projesi (BİGEP) izleme ve değerlendirme sınavında Türkçe(40 soru), Sosyal bilimler(20 soru), Temel Matematik(40 soru), Fen Bilimleri(20 soru) derslerinden 120 soru için 165 dakika süre verilmiştir. Yapılan</w:t>
      </w:r>
      <w:r w:rsidR="00E544B8">
        <w:rPr>
          <w:szCs w:val="24"/>
        </w:rPr>
        <w:t xml:space="preserve"> denemeye 95 11.sınıf öğrencisi, </w:t>
      </w:r>
      <w:r w:rsidR="00371DBE" w:rsidRPr="00E544B8">
        <w:rPr>
          <w:szCs w:val="24"/>
        </w:rPr>
        <w:t>82 12.sınıf öğrencisi toplam 177 öğrenci katılmıştır.</w:t>
      </w:r>
    </w:p>
    <w:p w:rsidR="00371DBE" w:rsidRPr="00E544B8" w:rsidRDefault="00371DBE" w:rsidP="00E544B8">
      <w:pPr>
        <w:spacing w:line="360" w:lineRule="auto"/>
        <w:ind w:firstLine="706"/>
        <w:jc w:val="both"/>
        <w:rPr>
          <w:szCs w:val="24"/>
        </w:rPr>
      </w:pPr>
      <w:r w:rsidRPr="00E544B8">
        <w:rPr>
          <w:szCs w:val="24"/>
        </w:rPr>
        <w:t>11.sınıf öğrencilerimizin Türkçe net ortalaması</w:t>
      </w:r>
      <w:r w:rsidR="009E166A" w:rsidRPr="00E544B8">
        <w:rPr>
          <w:szCs w:val="24"/>
        </w:rPr>
        <w:t xml:space="preserve"> 17,42 net olup</w:t>
      </w:r>
      <w:r w:rsidRPr="00E544B8">
        <w:rPr>
          <w:szCs w:val="24"/>
        </w:rPr>
        <w:t xml:space="preserve"> </w:t>
      </w:r>
      <w:proofErr w:type="spellStart"/>
      <w:r w:rsidRPr="00E544B8">
        <w:rPr>
          <w:szCs w:val="24"/>
        </w:rPr>
        <w:t>Haliliye</w:t>
      </w:r>
      <w:proofErr w:type="spellEnd"/>
      <w:r w:rsidRPr="00E544B8">
        <w:rPr>
          <w:szCs w:val="24"/>
        </w:rPr>
        <w:t xml:space="preserve"> ilçesi ortalamasının 0,38 net üstünde il ortalamasının 0,01 net altında kalmıştır. Matematik ortalaması </w:t>
      </w:r>
      <w:r w:rsidR="009E166A" w:rsidRPr="00E544B8">
        <w:rPr>
          <w:szCs w:val="24"/>
        </w:rPr>
        <w:t xml:space="preserve">3,64 net olup </w:t>
      </w:r>
      <w:proofErr w:type="spellStart"/>
      <w:r w:rsidRPr="00E544B8">
        <w:rPr>
          <w:szCs w:val="24"/>
        </w:rPr>
        <w:t>Haliliye</w:t>
      </w:r>
      <w:proofErr w:type="spellEnd"/>
      <w:r w:rsidRPr="00E544B8">
        <w:rPr>
          <w:szCs w:val="24"/>
        </w:rPr>
        <w:t xml:space="preserve"> ilçesinin 0,33 net altında il ortalamasının 1,87 net altında kalmıştır. Sosyal Bilimler ortalaması 5,06 net olup </w:t>
      </w:r>
      <w:proofErr w:type="spellStart"/>
      <w:r w:rsidRPr="00E544B8">
        <w:rPr>
          <w:szCs w:val="24"/>
        </w:rPr>
        <w:t>Haliliye</w:t>
      </w:r>
      <w:proofErr w:type="spellEnd"/>
      <w:r w:rsidRPr="00E544B8">
        <w:rPr>
          <w:szCs w:val="24"/>
        </w:rPr>
        <w:t xml:space="preserve"> ilçesinin 1,04 net altında İl ortalamasının 1,04 net altında kalmıştır. Fen bilimleri net ortalaması 1,63 net olup </w:t>
      </w:r>
      <w:proofErr w:type="spellStart"/>
      <w:r w:rsidRPr="00E544B8">
        <w:rPr>
          <w:szCs w:val="24"/>
        </w:rPr>
        <w:t>Haliliye</w:t>
      </w:r>
      <w:proofErr w:type="spellEnd"/>
      <w:r w:rsidRPr="00E544B8">
        <w:rPr>
          <w:szCs w:val="24"/>
        </w:rPr>
        <w:t xml:space="preserve"> ilçesinin </w:t>
      </w:r>
      <w:r w:rsidR="009E166A" w:rsidRPr="00E544B8">
        <w:rPr>
          <w:szCs w:val="24"/>
        </w:rPr>
        <w:t>1,2 net altında olup il ortalamasının 0,69 net altında kalmıştır.</w:t>
      </w:r>
      <w:r w:rsidR="00E544B8">
        <w:rPr>
          <w:szCs w:val="24"/>
        </w:rPr>
        <w:t xml:space="preserve"> Toplam net sayısı 27,76 net olup </w:t>
      </w:r>
      <w:proofErr w:type="spellStart"/>
      <w:r w:rsidR="00E544B8">
        <w:rPr>
          <w:szCs w:val="24"/>
        </w:rPr>
        <w:t>Haliliye</w:t>
      </w:r>
      <w:proofErr w:type="spellEnd"/>
      <w:r w:rsidR="00E544B8">
        <w:rPr>
          <w:szCs w:val="24"/>
        </w:rPr>
        <w:t xml:space="preserve"> ilçesinin 5,22 net altında, İl net ortalamasının 3,61 net altında kalmıştır.</w:t>
      </w:r>
    </w:p>
    <w:p w:rsidR="00976F42" w:rsidRPr="00E544B8" w:rsidRDefault="009E166A" w:rsidP="00E544B8">
      <w:pPr>
        <w:spacing w:line="360" w:lineRule="auto"/>
        <w:ind w:firstLine="706"/>
        <w:jc w:val="both"/>
        <w:rPr>
          <w:szCs w:val="24"/>
        </w:rPr>
      </w:pPr>
      <w:r w:rsidRPr="00E544B8">
        <w:rPr>
          <w:szCs w:val="24"/>
        </w:rPr>
        <w:t>12.sınıf öğrencilerimizin Türkçe net ortalaması</w:t>
      </w:r>
      <w:r w:rsidR="00E544B8">
        <w:rPr>
          <w:szCs w:val="24"/>
        </w:rPr>
        <w:t xml:space="preserve"> 21,65 net olup </w:t>
      </w:r>
      <w:proofErr w:type="spellStart"/>
      <w:r w:rsidR="00E544B8">
        <w:rPr>
          <w:szCs w:val="24"/>
        </w:rPr>
        <w:t>H</w:t>
      </w:r>
      <w:r w:rsidRPr="00E544B8">
        <w:rPr>
          <w:szCs w:val="24"/>
        </w:rPr>
        <w:t>aliliye</w:t>
      </w:r>
      <w:proofErr w:type="spellEnd"/>
      <w:r w:rsidRPr="00E544B8">
        <w:rPr>
          <w:szCs w:val="24"/>
        </w:rPr>
        <w:t xml:space="preserve"> ilçesi ortalamasının 4,61 net üstünde il ortalamasının 4,22 net üstündedir. Matemati</w:t>
      </w:r>
      <w:r w:rsidR="00E544B8">
        <w:rPr>
          <w:szCs w:val="24"/>
        </w:rPr>
        <w:t xml:space="preserve">k net ortalaması 4,48 net olup </w:t>
      </w:r>
      <w:proofErr w:type="spellStart"/>
      <w:r w:rsidR="00E544B8">
        <w:rPr>
          <w:szCs w:val="24"/>
        </w:rPr>
        <w:t>H</w:t>
      </w:r>
      <w:r w:rsidRPr="00E544B8">
        <w:rPr>
          <w:szCs w:val="24"/>
        </w:rPr>
        <w:t>aliliye</w:t>
      </w:r>
      <w:proofErr w:type="spellEnd"/>
      <w:r w:rsidRPr="00E544B8">
        <w:rPr>
          <w:szCs w:val="24"/>
        </w:rPr>
        <w:t xml:space="preserve"> ilçesinin 2,53 net altında il ortalamasının 1,03 net altında kalmıştır. Sosyal bilimle</w:t>
      </w:r>
      <w:r w:rsidR="00E544B8">
        <w:rPr>
          <w:szCs w:val="24"/>
        </w:rPr>
        <w:t xml:space="preserve">r net ortalaması 6,39 net olup </w:t>
      </w:r>
      <w:proofErr w:type="spellStart"/>
      <w:r w:rsidR="00E544B8">
        <w:rPr>
          <w:szCs w:val="24"/>
        </w:rPr>
        <w:t>H</w:t>
      </w:r>
      <w:r w:rsidRPr="00E544B8">
        <w:rPr>
          <w:szCs w:val="24"/>
        </w:rPr>
        <w:t>aliliye</w:t>
      </w:r>
      <w:proofErr w:type="spellEnd"/>
      <w:r w:rsidRPr="00E544B8">
        <w:rPr>
          <w:szCs w:val="24"/>
        </w:rPr>
        <w:t xml:space="preserve"> ilçesinin </w:t>
      </w:r>
      <w:r w:rsidR="00E544B8" w:rsidRPr="00E544B8">
        <w:rPr>
          <w:szCs w:val="24"/>
        </w:rPr>
        <w:t>ve il ortalamasının 0,29 net üstündedir. Fen bilimler</w:t>
      </w:r>
      <w:r w:rsidR="00E544B8">
        <w:rPr>
          <w:szCs w:val="24"/>
        </w:rPr>
        <w:t xml:space="preserve">i net ortalaması 2,01 net olup </w:t>
      </w:r>
      <w:proofErr w:type="spellStart"/>
      <w:r w:rsidR="00E544B8">
        <w:rPr>
          <w:szCs w:val="24"/>
        </w:rPr>
        <w:t>H</w:t>
      </w:r>
      <w:r w:rsidR="00E544B8" w:rsidRPr="00E544B8">
        <w:rPr>
          <w:szCs w:val="24"/>
        </w:rPr>
        <w:t>aliliye</w:t>
      </w:r>
      <w:proofErr w:type="spellEnd"/>
      <w:r w:rsidR="00E544B8" w:rsidRPr="00E544B8">
        <w:rPr>
          <w:szCs w:val="24"/>
        </w:rPr>
        <w:t xml:space="preserve"> ilçesinin 0,82 net altında il net ortalamasının 0,31 net altında kalmıştır.</w:t>
      </w:r>
      <w:r w:rsidR="00E544B8">
        <w:rPr>
          <w:szCs w:val="24"/>
        </w:rPr>
        <w:t xml:space="preserve"> Toplam net sayısı 34,53 net olup </w:t>
      </w:r>
      <w:proofErr w:type="spellStart"/>
      <w:r w:rsidR="00E544B8">
        <w:rPr>
          <w:szCs w:val="24"/>
        </w:rPr>
        <w:t>Haliliye</w:t>
      </w:r>
      <w:proofErr w:type="spellEnd"/>
      <w:r w:rsidR="00E544B8">
        <w:rPr>
          <w:szCs w:val="24"/>
        </w:rPr>
        <w:t xml:space="preserve"> ilçesinin 1,55 net üstünde İl net ortalamasının 3,16 net üstünde tamamlamıştır.</w:t>
      </w:r>
    </w:p>
    <w:p w:rsidR="00976F42" w:rsidRPr="00976F42" w:rsidRDefault="00976F42" w:rsidP="00976F42">
      <w:pPr>
        <w:tabs>
          <w:tab w:val="left" w:pos="1620"/>
          <w:tab w:val="left" w:pos="6885"/>
        </w:tabs>
      </w:pPr>
    </w:p>
    <w:sectPr w:rsidR="00976F42" w:rsidRPr="00976F42" w:rsidSect="00674FF4">
      <w:pgSz w:w="16838" w:h="11906" w:orient="landscape"/>
      <w:pgMar w:top="567"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9"/>
    <w:rsid w:val="00075543"/>
    <w:rsid w:val="00111C59"/>
    <w:rsid w:val="00191446"/>
    <w:rsid w:val="0022064F"/>
    <w:rsid w:val="00371DBE"/>
    <w:rsid w:val="003A6089"/>
    <w:rsid w:val="006519B2"/>
    <w:rsid w:val="00674FF4"/>
    <w:rsid w:val="008C29E0"/>
    <w:rsid w:val="00976F42"/>
    <w:rsid w:val="009E166A"/>
    <w:rsid w:val="00C52DC9"/>
    <w:rsid w:val="00E54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84E08-C05F-4C3E-AFC6-975AAA7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before="120" w:after="120"/>
        <w:ind w:left="1418"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0636">
      <w:bodyDiv w:val="1"/>
      <w:marLeft w:val="0"/>
      <w:marRight w:val="0"/>
      <w:marTop w:val="0"/>
      <w:marBottom w:val="0"/>
      <w:divBdr>
        <w:top w:val="none" w:sz="0" w:space="0" w:color="auto"/>
        <w:left w:val="none" w:sz="0" w:space="0" w:color="auto"/>
        <w:bottom w:val="none" w:sz="0" w:space="0" w:color="auto"/>
        <w:right w:val="none" w:sz="0" w:space="0" w:color="auto"/>
      </w:divBdr>
    </w:div>
    <w:div w:id="20867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Yonetici</cp:lastModifiedBy>
  <cp:revision>2</cp:revision>
  <cp:lastPrinted>2023-12-26T06:29:00Z</cp:lastPrinted>
  <dcterms:created xsi:type="dcterms:W3CDTF">2023-12-29T06:44:00Z</dcterms:created>
  <dcterms:modified xsi:type="dcterms:W3CDTF">2023-12-29T06:44:00Z</dcterms:modified>
</cp:coreProperties>
</file>